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1" w:rsidRDefault="00325071" w:rsidP="003250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Proposed Changes to</w:t>
      </w:r>
    </w:p>
    <w:p w:rsidR="00325071" w:rsidRDefault="00325071" w:rsidP="0032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MINIMUM TRAVEL DEMAND MODEL </w:t>
      </w:r>
    </w:p>
    <w:p w:rsidR="00325071" w:rsidRDefault="00325071" w:rsidP="0032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CALIBRATION and VALIDATION GUIDELINES</w:t>
      </w:r>
    </w:p>
    <w:p w:rsidR="00325071" w:rsidRDefault="00325071" w:rsidP="0032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STATE OF TENNESSEE</w:t>
      </w:r>
    </w:p>
    <w:p w:rsidR="00325071" w:rsidRDefault="00325071" w:rsidP="003250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UPDATED 2012</w:t>
      </w:r>
    </w:p>
    <w:p w:rsidR="00325071" w:rsidRDefault="00325071" w:rsidP="00325071">
      <w:pPr>
        <w:jc w:val="center"/>
        <w:rPr>
          <w:rFonts w:ascii="Arial" w:hAnsi="Arial" w:cs="Arial"/>
          <w:b/>
          <w:sz w:val="28"/>
          <w:szCs w:val="28"/>
        </w:rPr>
      </w:pPr>
    </w:p>
    <w:p w:rsidR="00325071" w:rsidRDefault="00325071" w:rsidP="00325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Modify Standards to Acceptable vs. Preferable</w:t>
      </w:r>
    </w:p>
    <w:p w:rsidR="00325071" w:rsidRDefault="00325071" w:rsidP="00325071">
      <w:pPr>
        <w:jc w:val="center"/>
        <w:rPr>
          <w:rFonts w:ascii="Arial" w:hAnsi="Arial" w:cs="Arial"/>
          <w:sz w:val="24"/>
          <w:szCs w:val="24"/>
        </w:rPr>
      </w:pPr>
    </w:p>
    <w:p w:rsidR="00325071" w:rsidRDefault="00325071" w:rsidP="00325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19 . . .</w:t>
      </w:r>
    </w:p>
    <w:p w:rsidR="00325071" w:rsidRDefault="00325071" w:rsidP="00325071">
      <w:pPr>
        <w:jc w:val="center"/>
        <w:rPr>
          <w:rFonts w:ascii="Arial" w:hAnsi="Arial" w:cs="Arial"/>
          <w:sz w:val="24"/>
          <w:szCs w:val="24"/>
        </w:rPr>
      </w:pPr>
    </w:p>
    <w:p w:rsidR="00325071" w:rsidRDefault="00325071" w:rsidP="0032507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Recommendations:</w:t>
      </w:r>
    </w:p>
    <w:p w:rsidR="00325071" w:rsidRDefault="00325071" w:rsidP="0032507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application in Tennessee, it is suggested the following tests be conducted:</w:t>
      </w:r>
    </w:p>
    <w:p w:rsidR="00325071" w:rsidRDefault="00325071" w:rsidP="0032507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 difference in value for screenlines </w:t>
      </w:r>
      <w:r>
        <w:rPr>
          <w:rFonts w:ascii="Arial" w:hAnsi="Arial" w:cs="Arial"/>
          <w:i/>
          <w:sz w:val="24"/>
          <w:szCs w:val="24"/>
        </w:rPr>
        <w:t>(Table 5)</w:t>
      </w:r>
    </w:p>
    <w:p w:rsidR="00325071" w:rsidRDefault="00325071" w:rsidP="0032507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 difference in value for link volumes </w:t>
      </w:r>
      <w:r>
        <w:rPr>
          <w:rFonts w:ascii="Arial" w:hAnsi="Arial" w:cs="Arial"/>
          <w:i/>
          <w:sz w:val="24"/>
          <w:szCs w:val="24"/>
        </w:rPr>
        <w:t>(Table 5 – acceptable)</w:t>
      </w:r>
    </w:p>
    <w:p w:rsidR="00325071" w:rsidRDefault="00325071" w:rsidP="0032507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 difference in volume by classification </w:t>
      </w:r>
      <w:r>
        <w:rPr>
          <w:rFonts w:ascii="Arial" w:hAnsi="Arial" w:cs="Arial"/>
          <w:i/>
          <w:sz w:val="24"/>
          <w:szCs w:val="24"/>
        </w:rPr>
        <w:t>(Table 6 – FHWA)</w:t>
      </w:r>
    </w:p>
    <w:p w:rsidR="00325071" w:rsidRDefault="00325071" w:rsidP="0032507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Correlate coefficient by link volumes</w:t>
      </w:r>
      <w:r>
        <w:rPr>
          <w:rFonts w:ascii="Arial" w:hAnsi="Arial" w:cs="Arial"/>
          <w:sz w:val="24"/>
          <w:szCs w:val="24"/>
        </w:rPr>
        <w:t xml:space="preserve"> </w:t>
      </w:r>
      <w:r w:rsidR="007905E0">
        <w:rPr>
          <w:rFonts w:ascii="Arial" w:hAnsi="Arial" w:cs="Arial"/>
          <w:i/>
          <w:sz w:val="24"/>
          <w:szCs w:val="24"/>
        </w:rPr>
        <w:t>Coefficient</w:t>
      </w:r>
      <w:r>
        <w:rPr>
          <w:rFonts w:ascii="Arial" w:hAnsi="Arial" w:cs="Arial"/>
          <w:i/>
          <w:sz w:val="24"/>
          <w:szCs w:val="24"/>
        </w:rPr>
        <w:t xml:space="preserve"> of Determination (Figure 2)</w:t>
      </w:r>
    </w:p>
    <w:p w:rsidR="00325071" w:rsidRDefault="00325071" w:rsidP="0032507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Root mean square for link volumes </w:t>
      </w:r>
      <w:r>
        <w:rPr>
          <w:rFonts w:ascii="Arial" w:hAnsi="Arial" w:cs="Arial"/>
          <w:i/>
          <w:sz w:val="24"/>
          <w:szCs w:val="24"/>
        </w:rPr>
        <w:t>(Table 10 – acceptable)</w:t>
      </w:r>
    </w:p>
    <w:p w:rsidR="00325071" w:rsidRDefault="00325071" w:rsidP="00325071">
      <w:pPr>
        <w:jc w:val="left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Where FHWA and Michigan criteria are provided it is suggested the FHWA criteria be selected.</w:t>
      </w:r>
    </w:p>
    <w:p w:rsidR="00325071" w:rsidRDefault="00325071" w:rsidP="00325071">
      <w:pPr>
        <w:jc w:val="left"/>
        <w:rPr>
          <w:rFonts w:ascii="Arial" w:hAnsi="Arial" w:cs="Arial"/>
          <w:sz w:val="24"/>
          <w:szCs w:val="24"/>
        </w:rPr>
      </w:pPr>
    </w:p>
    <w:p w:rsidR="00325071" w:rsidRDefault="00325071" w:rsidP="0032507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Tennessee MPO’s and TPO’s in the </w:t>
      </w:r>
      <w:r w:rsidR="007905E0">
        <w:rPr>
          <w:rFonts w:ascii="Arial" w:hAnsi="Arial" w:cs="Arial"/>
          <w:sz w:val="24"/>
          <w:szCs w:val="24"/>
        </w:rPr>
        <w:t>preparation</w:t>
      </w:r>
      <w:r>
        <w:rPr>
          <w:rFonts w:ascii="Arial" w:hAnsi="Arial" w:cs="Arial"/>
          <w:sz w:val="24"/>
          <w:szCs w:val="24"/>
        </w:rPr>
        <w:t xml:space="preserve"> of their next long range plan are encouraged, where practical, to consider the following test which will be considered for inclusion in the future draft of the calibration/validation guidelines.</w:t>
      </w:r>
    </w:p>
    <w:p w:rsidR="00325071" w:rsidRDefault="00325071" w:rsidP="0032507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Modeled versus observed VMT by functional classification </w:t>
      </w:r>
      <w:r>
        <w:rPr>
          <w:rFonts w:ascii="Arial" w:hAnsi="Arial" w:cs="Arial"/>
          <w:i/>
          <w:sz w:val="24"/>
          <w:szCs w:val="24"/>
        </w:rPr>
        <w:t>(Table 9 – acceptable)</w:t>
      </w:r>
    </w:p>
    <w:p w:rsidR="00325071" w:rsidRDefault="00325071" w:rsidP="0032507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 mean square by functional classification (Table 11)</w:t>
      </w:r>
    </w:p>
    <w:p w:rsidR="00325071" w:rsidRDefault="00325071" w:rsidP="0032507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 hour validation targets</w:t>
      </w:r>
    </w:p>
    <w:p w:rsidR="00325071" w:rsidRDefault="00325071" w:rsidP="0032507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size documentation</w:t>
      </w:r>
    </w:p>
    <w:p w:rsidR="00325071" w:rsidRDefault="00325071" w:rsidP="00325071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not specified, such as in Table 4 and Table 7, the acceptable standards are to be adopted.</w:t>
      </w:r>
    </w:p>
    <w:p w:rsidR="00325071" w:rsidRDefault="00325071" w:rsidP="00325071">
      <w:pPr>
        <w:rPr>
          <w:rFonts w:ascii="Arial" w:hAnsi="Arial" w:cs="Arial"/>
          <w:sz w:val="24"/>
          <w:szCs w:val="24"/>
        </w:rPr>
      </w:pPr>
    </w:p>
    <w:p w:rsidR="000A7DC4" w:rsidRDefault="000A7DC4"/>
    <w:sectPr w:rsidR="000A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92D"/>
    <w:multiLevelType w:val="hybridMultilevel"/>
    <w:tmpl w:val="B1023788"/>
    <w:lvl w:ilvl="0" w:tplc="6922BE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95353"/>
    <w:multiLevelType w:val="hybridMultilevel"/>
    <w:tmpl w:val="28E2E664"/>
    <w:lvl w:ilvl="0" w:tplc="7DE684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1"/>
    <w:rsid w:val="000A7DC4"/>
    <w:rsid w:val="00325071"/>
    <w:rsid w:val="007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Jerry</cp:lastModifiedBy>
  <cp:revision>2</cp:revision>
  <dcterms:created xsi:type="dcterms:W3CDTF">2015-11-10T20:00:00Z</dcterms:created>
  <dcterms:modified xsi:type="dcterms:W3CDTF">2015-12-11T19:38:00Z</dcterms:modified>
</cp:coreProperties>
</file>